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08014" w14:textId="4244AFC4" w:rsidR="005A2CCA" w:rsidRPr="003719D9" w:rsidRDefault="003F2909" w:rsidP="003F29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9D9">
        <w:rPr>
          <w:rFonts w:ascii="Times New Roman" w:hAnsi="Times New Roman" w:cs="Times New Roman"/>
          <w:b/>
          <w:sz w:val="24"/>
          <w:szCs w:val="24"/>
        </w:rPr>
        <w:t>ASPECTOS DEMOGRÁFICOS DA REFORMA DA PREVIDÊNCIA</w:t>
      </w:r>
      <w:r w:rsidR="002E7817">
        <w:rPr>
          <w:rFonts w:ascii="Times New Roman" w:hAnsi="Times New Roman" w:cs="Times New Roman"/>
          <w:b/>
          <w:sz w:val="24"/>
          <w:szCs w:val="24"/>
        </w:rPr>
        <w:t>*</w:t>
      </w:r>
    </w:p>
    <w:p w14:paraId="61508015" w14:textId="3BCEAAD9" w:rsidR="003F2909" w:rsidRPr="006D7286" w:rsidRDefault="006D7286" w:rsidP="006D728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D7286">
        <w:rPr>
          <w:rFonts w:ascii="Times New Roman" w:hAnsi="Times New Roman" w:cs="Times New Roman"/>
          <w:b/>
          <w:sz w:val="44"/>
          <w:szCs w:val="44"/>
        </w:rPr>
        <w:t>N</w:t>
      </w:r>
      <w:r w:rsidR="0044651A" w:rsidRPr="006D7286">
        <w:rPr>
          <w:rFonts w:ascii="Times New Roman" w:hAnsi="Times New Roman" w:cs="Times New Roman"/>
          <w:b/>
          <w:sz w:val="44"/>
          <w:szCs w:val="44"/>
        </w:rPr>
        <w:t>úmeros</w:t>
      </w:r>
      <w:r w:rsidR="003516E1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6D7286">
        <w:rPr>
          <w:rFonts w:ascii="Times New Roman" w:hAnsi="Times New Roman" w:cs="Times New Roman"/>
          <w:b/>
          <w:sz w:val="44"/>
          <w:szCs w:val="44"/>
        </w:rPr>
        <w:t>do IBGE</w:t>
      </w:r>
      <w:r w:rsidR="003516E1">
        <w:rPr>
          <w:rFonts w:ascii="Times New Roman" w:hAnsi="Times New Roman" w:cs="Times New Roman"/>
          <w:b/>
          <w:sz w:val="44"/>
          <w:szCs w:val="44"/>
        </w:rPr>
        <w:t xml:space="preserve"> desmentem Paulo Rabello</w:t>
      </w:r>
    </w:p>
    <w:p w14:paraId="4F803888" w14:textId="4E5D2A97" w:rsidR="006D1C19" w:rsidRDefault="0044651A" w:rsidP="002E00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defensores da reforma da P</w:t>
      </w:r>
      <w:r w:rsidR="00740EA8" w:rsidRPr="003719D9">
        <w:rPr>
          <w:rFonts w:ascii="Times New Roman" w:hAnsi="Times New Roman" w:cs="Times New Roman"/>
          <w:sz w:val="24"/>
          <w:szCs w:val="24"/>
        </w:rPr>
        <w:t>revidência</w:t>
      </w:r>
      <w:r w:rsidR="002E0011" w:rsidRPr="003719D9">
        <w:rPr>
          <w:rFonts w:ascii="Times New Roman" w:hAnsi="Times New Roman" w:cs="Times New Roman"/>
          <w:sz w:val="24"/>
          <w:szCs w:val="24"/>
        </w:rPr>
        <w:t>,</w:t>
      </w:r>
      <w:r w:rsidR="00740EA8" w:rsidRPr="003719D9">
        <w:rPr>
          <w:rFonts w:ascii="Times New Roman" w:hAnsi="Times New Roman" w:cs="Times New Roman"/>
          <w:sz w:val="24"/>
          <w:szCs w:val="24"/>
        </w:rPr>
        <w:t xml:space="preserve"> tal </w:t>
      </w:r>
      <w:r w:rsidR="002E0011" w:rsidRPr="003719D9">
        <w:rPr>
          <w:rFonts w:ascii="Times New Roman" w:hAnsi="Times New Roman" w:cs="Times New Roman"/>
          <w:sz w:val="24"/>
          <w:szCs w:val="24"/>
        </w:rPr>
        <w:t>como</w:t>
      </w:r>
      <w:r w:rsidR="00740EA8" w:rsidRPr="003719D9">
        <w:rPr>
          <w:rFonts w:ascii="Times New Roman" w:hAnsi="Times New Roman" w:cs="Times New Roman"/>
          <w:sz w:val="24"/>
          <w:szCs w:val="24"/>
        </w:rPr>
        <w:t xml:space="preserve"> proposta pelo </w:t>
      </w:r>
      <w:r w:rsidR="002C786F" w:rsidRPr="003719D9">
        <w:rPr>
          <w:rFonts w:ascii="Times New Roman" w:hAnsi="Times New Roman" w:cs="Times New Roman"/>
          <w:sz w:val="24"/>
          <w:szCs w:val="24"/>
        </w:rPr>
        <w:t xml:space="preserve">atual </w:t>
      </w:r>
      <w:r w:rsidR="00740EA8" w:rsidRPr="003719D9">
        <w:rPr>
          <w:rFonts w:ascii="Times New Roman" w:hAnsi="Times New Roman" w:cs="Times New Roman"/>
          <w:sz w:val="24"/>
          <w:szCs w:val="24"/>
        </w:rPr>
        <w:t>governo</w:t>
      </w:r>
      <w:r w:rsidR="002E0011" w:rsidRPr="003719D9">
        <w:rPr>
          <w:rFonts w:ascii="Times New Roman" w:hAnsi="Times New Roman" w:cs="Times New Roman"/>
          <w:sz w:val="24"/>
          <w:szCs w:val="24"/>
        </w:rPr>
        <w:t xml:space="preserve">, </w:t>
      </w:r>
      <w:r w:rsidR="006D1C19">
        <w:rPr>
          <w:rFonts w:ascii="Times New Roman" w:hAnsi="Times New Roman" w:cs="Times New Roman"/>
          <w:sz w:val="24"/>
          <w:szCs w:val="24"/>
        </w:rPr>
        <w:t>entr</w:t>
      </w:r>
      <w:r>
        <w:rPr>
          <w:rFonts w:ascii="Times New Roman" w:hAnsi="Times New Roman" w:cs="Times New Roman"/>
          <w:sz w:val="24"/>
          <w:szCs w:val="24"/>
        </w:rPr>
        <w:t xml:space="preserve">e eles o Presidente do IBGE, </w:t>
      </w:r>
      <w:r w:rsidR="006D1C19">
        <w:rPr>
          <w:rFonts w:ascii="Times New Roman" w:hAnsi="Times New Roman" w:cs="Times New Roman"/>
          <w:sz w:val="24"/>
          <w:szCs w:val="24"/>
        </w:rPr>
        <w:t>Paulo Rabel</w:t>
      </w:r>
      <w:r w:rsidR="001275FC">
        <w:rPr>
          <w:rFonts w:ascii="Times New Roman" w:hAnsi="Times New Roman" w:cs="Times New Roman"/>
          <w:sz w:val="24"/>
          <w:szCs w:val="24"/>
        </w:rPr>
        <w:t>l</w:t>
      </w:r>
      <w:r w:rsidR="006D1C19">
        <w:rPr>
          <w:rFonts w:ascii="Times New Roman" w:hAnsi="Times New Roman" w:cs="Times New Roman"/>
          <w:sz w:val="24"/>
          <w:szCs w:val="24"/>
        </w:rPr>
        <w:t xml:space="preserve">o de Castro, </w:t>
      </w:r>
      <w:r w:rsidR="002E0011" w:rsidRPr="003719D9">
        <w:rPr>
          <w:rFonts w:ascii="Times New Roman" w:hAnsi="Times New Roman" w:cs="Times New Roman"/>
          <w:sz w:val="24"/>
          <w:szCs w:val="24"/>
        </w:rPr>
        <w:t>acionam os indicadores demográficos para prenunciar a “verdadeira hecatombe” que atingirá o sistema previdenciário</w:t>
      </w:r>
      <w:r>
        <w:rPr>
          <w:rFonts w:ascii="Times New Roman" w:hAnsi="Times New Roman" w:cs="Times New Roman"/>
          <w:sz w:val="24"/>
          <w:szCs w:val="24"/>
        </w:rPr>
        <w:t>,</w:t>
      </w:r>
      <w:r w:rsidR="002E0011" w:rsidRPr="003719D9">
        <w:rPr>
          <w:rFonts w:ascii="Times New Roman" w:hAnsi="Times New Roman" w:cs="Times New Roman"/>
          <w:sz w:val="24"/>
          <w:szCs w:val="24"/>
        </w:rPr>
        <w:t xml:space="preserve"> em função do iminente envelhecimento popula</w:t>
      </w:r>
      <w:r w:rsidR="006D1C19">
        <w:rPr>
          <w:rFonts w:ascii="Times New Roman" w:hAnsi="Times New Roman" w:cs="Times New Roman"/>
          <w:sz w:val="24"/>
          <w:szCs w:val="24"/>
        </w:rPr>
        <w:t>cional da sociedade brasileira.</w:t>
      </w:r>
    </w:p>
    <w:p w14:paraId="41872E37" w14:textId="0D7A0793" w:rsidR="006D1C19" w:rsidRDefault="006D1C19" w:rsidP="002E00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Esse senhor</w:t>
      </w:r>
      <w:r w:rsidR="004465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inclusive</w:t>
      </w:r>
      <w:r w:rsidR="004465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utiliza indevidamente os indicadores demográficos produzidos pelo IBGE. Juntando o útil ao agradável, Rabel</w:t>
      </w:r>
      <w:r w:rsidR="001275FC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 tem desfilado pelos diversos meios de comunicação fazendo sua campanha pessoal e defendendo a “tímida reforma”, passando uma falsa ideia que os dados corroboram</w:t>
      </w:r>
      <w:r w:rsidR="0044651A">
        <w:rPr>
          <w:rFonts w:ascii="Times New Roman" w:hAnsi="Times New Roman" w:cs="Times New Roman"/>
          <w:sz w:val="24"/>
          <w:szCs w:val="24"/>
        </w:rPr>
        <w:t xml:space="preserve"> com a necessidade do ataque à Previdência Social, fazendo crer que os</w:t>
      </w:r>
      <w:r>
        <w:rPr>
          <w:rFonts w:ascii="Times New Roman" w:hAnsi="Times New Roman" w:cs="Times New Roman"/>
          <w:sz w:val="24"/>
          <w:szCs w:val="24"/>
        </w:rPr>
        <w:t xml:space="preserve"> técnicos</w:t>
      </w:r>
      <w:r w:rsidR="0044651A">
        <w:rPr>
          <w:rFonts w:ascii="Times New Roman" w:hAnsi="Times New Roman" w:cs="Times New Roman"/>
          <w:sz w:val="24"/>
          <w:szCs w:val="24"/>
        </w:rPr>
        <w:t xml:space="preserve"> do IBGE defenderiam</w:t>
      </w:r>
      <w:r>
        <w:rPr>
          <w:rFonts w:ascii="Times New Roman" w:hAnsi="Times New Roman" w:cs="Times New Roman"/>
          <w:sz w:val="24"/>
          <w:szCs w:val="24"/>
        </w:rPr>
        <w:t xml:space="preserve"> a reforma tal e qual proposta pelo governo ilegítimo</w:t>
      </w:r>
      <w:r w:rsidR="0043323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BAA7B6" w14:textId="77777777" w:rsidR="0044651A" w:rsidRDefault="0044651A" w:rsidP="002E00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sua</w:t>
      </w:r>
      <w:r w:rsidR="00433238">
        <w:rPr>
          <w:rFonts w:ascii="Times New Roman" w:hAnsi="Times New Roman" w:cs="Times New Roman"/>
          <w:sz w:val="24"/>
          <w:szCs w:val="24"/>
        </w:rPr>
        <w:t xml:space="preserve"> entrevista ao jornal “</w:t>
      </w:r>
      <w:r>
        <w:rPr>
          <w:rFonts w:ascii="Times New Roman" w:hAnsi="Times New Roman" w:cs="Times New Roman"/>
          <w:sz w:val="24"/>
          <w:szCs w:val="24"/>
        </w:rPr>
        <w:t xml:space="preserve">O Estado de São Paulo”, no dia </w:t>
      </w:r>
      <w:r w:rsidR="0043323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de maio de 2017</w:t>
      </w:r>
      <w:r w:rsidR="00433238">
        <w:rPr>
          <w:rFonts w:ascii="Times New Roman" w:hAnsi="Times New Roman" w:cs="Times New Roman"/>
          <w:sz w:val="24"/>
          <w:szCs w:val="24"/>
        </w:rPr>
        <w:t>, o encantador de números afirma, entre outras bobagens, que “O Brasil já vem envelhecendo desde os anos 80, sofrendo uma transformação histórica na sua e</w:t>
      </w:r>
      <w:r>
        <w:rPr>
          <w:rFonts w:ascii="Times New Roman" w:hAnsi="Times New Roman" w:cs="Times New Roman"/>
          <w:sz w:val="24"/>
          <w:szCs w:val="24"/>
        </w:rPr>
        <w:t>strutura demográfica...”. O que Rabello de Castro</w:t>
      </w:r>
      <w:r w:rsidR="00433238">
        <w:rPr>
          <w:rFonts w:ascii="Times New Roman" w:hAnsi="Times New Roman" w:cs="Times New Roman"/>
          <w:sz w:val="24"/>
          <w:szCs w:val="24"/>
        </w:rPr>
        <w:t xml:space="preserve"> desconhece, ou finge desconhecer, é o que ele diz se tratar de envelhec</w:t>
      </w:r>
      <w:r>
        <w:rPr>
          <w:rFonts w:ascii="Times New Roman" w:hAnsi="Times New Roman" w:cs="Times New Roman"/>
          <w:sz w:val="24"/>
          <w:szCs w:val="24"/>
        </w:rPr>
        <w:t>imento é justamente o contrário:</w:t>
      </w:r>
      <w:r w:rsidR="00433238">
        <w:rPr>
          <w:rFonts w:ascii="Times New Roman" w:hAnsi="Times New Roman" w:cs="Times New Roman"/>
          <w:sz w:val="24"/>
          <w:szCs w:val="24"/>
        </w:rPr>
        <w:t xml:space="preserve"> </w:t>
      </w:r>
      <w:r w:rsidR="00380F4B">
        <w:rPr>
          <w:rFonts w:ascii="Times New Roman" w:hAnsi="Times New Roman" w:cs="Times New Roman"/>
          <w:sz w:val="24"/>
          <w:szCs w:val="24"/>
        </w:rPr>
        <w:t>n</w:t>
      </w:r>
      <w:r w:rsidR="00433238">
        <w:rPr>
          <w:rFonts w:ascii="Times New Roman" w:hAnsi="Times New Roman" w:cs="Times New Roman"/>
          <w:sz w:val="24"/>
          <w:szCs w:val="24"/>
        </w:rPr>
        <w:t xml:space="preserve">a década </w:t>
      </w:r>
      <w:r w:rsidR="00380F4B">
        <w:rPr>
          <w:rFonts w:ascii="Times New Roman" w:hAnsi="Times New Roman" w:cs="Times New Roman"/>
          <w:sz w:val="24"/>
          <w:szCs w:val="24"/>
        </w:rPr>
        <w:t xml:space="preserve">de 1980 </w:t>
      </w:r>
      <w:r w:rsidR="00433238">
        <w:rPr>
          <w:rFonts w:ascii="Times New Roman" w:hAnsi="Times New Roman" w:cs="Times New Roman"/>
          <w:sz w:val="24"/>
          <w:szCs w:val="24"/>
        </w:rPr>
        <w:t xml:space="preserve">o país começa a experimentar o bônus </w:t>
      </w:r>
      <w:r w:rsidR="00380F4B">
        <w:rPr>
          <w:rFonts w:ascii="Times New Roman" w:hAnsi="Times New Roman" w:cs="Times New Roman"/>
          <w:sz w:val="24"/>
          <w:szCs w:val="24"/>
        </w:rPr>
        <w:t>demográfico.</w:t>
      </w:r>
      <w:r w:rsidR="00433238">
        <w:rPr>
          <w:rFonts w:ascii="Times New Roman" w:hAnsi="Times New Roman" w:cs="Times New Roman"/>
          <w:sz w:val="24"/>
          <w:szCs w:val="24"/>
        </w:rPr>
        <w:t xml:space="preserve"> </w:t>
      </w:r>
      <w:r w:rsidR="00380F4B" w:rsidRPr="00380F4B">
        <w:rPr>
          <w:rFonts w:ascii="Times New Roman" w:hAnsi="Times New Roman" w:cs="Times New Roman"/>
          <w:sz w:val="24"/>
          <w:szCs w:val="24"/>
        </w:rPr>
        <w:t xml:space="preserve">Isto significa que, face ao declínio dos níveis de fecundidade, a inércia demográfica provoca o aumento significativo da população em idade ativa (15 a 64 anos) e, consequentemente, a razão de dependência total diminui. </w:t>
      </w:r>
    </w:p>
    <w:p w14:paraId="3B230FB8" w14:textId="55C0C45D" w:rsidR="00433238" w:rsidRDefault="00380F4B" w:rsidP="002E0011">
      <w:pPr>
        <w:jc w:val="both"/>
        <w:rPr>
          <w:rFonts w:ascii="Times New Roman" w:hAnsi="Times New Roman" w:cs="Times New Roman"/>
          <w:sz w:val="24"/>
          <w:szCs w:val="24"/>
        </w:rPr>
      </w:pPr>
      <w:r w:rsidRPr="00380F4B">
        <w:rPr>
          <w:rFonts w:ascii="Times New Roman" w:hAnsi="Times New Roman" w:cs="Times New Roman"/>
          <w:sz w:val="24"/>
          <w:szCs w:val="24"/>
        </w:rPr>
        <w:t>Nesse cenário, potencialmente, teríamos um contingente maior de pessoas em idade de trabalhar quando comparado aos segmentos mais jovens (0 a 14 anos) e aos idosos (65 anos ou mais), ou seja, a dependência daqueles que teoricamente não estariam fazendo parte da força de trabalho seria menor</w:t>
      </w:r>
      <w:r>
        <w:rPr>
          <w:rFonts w:ascii="Times New Roman" w:hAnsi="Times New Roman" w:cs="Times New Roman"/>
          <w:sz w:val="24"/>
          <w:szCs w:val="24"/>
        </w:rPr>
        <w:t xml:space="preserve"> (Figura 1)</w:t>
      </w:r>
      <w:r w:rsidRPr="00380F4B">
        <w:rPr>
          <w:rFonts w:ascii="Times New Roman" w:hAnsi="Times New Roman" w:cs="Times New Roman"/>
          <w:sz w:val="24"/>
          <w:szCs w:val="24"/>
        </w:rPr>
        <w:t>.</w:t>
      </w:r>
    </w:p>
    <w:p w14:paraId="14C0595F" w14:textId="77777777" w:rsidR="001275FC" w:rsidRDefault="00380F4B" w:rsidP="00380F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Figura 1</w:t>
      </w:r>
    </w:p>
    <w:p w14:paraId="72C30B8C" w14:textId="56767FA1" w:rsidR="00380F4B" w:rsidRDefault="00E0323C" w:rsidP="00380F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lastRenderedPageBreak/>
        <w:drawing>
          <wp:inline distT="0" distB="0" distL="0" distR="0" wp14:anchorId="1B0B27AC" wp14:editId="74682532">
            <wp:extent cx="5400040" cy="2965450"/>
            <wp:effectExtent l="0" t="0" r="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6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5C2CD" w14:textId="6AF7FA8B" w:rsidR="00480500" w:rsidRPr="00480500" w:rsidRDefault="00380F4B" w:rsidP="001275FC">
      <w:pPr>
        <w:ind w:left="708"/>
        <w:rPr>
          <w:sz w:val="20"/>
          <w:szCs w:val="20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6F67F1" wp14:editId="434992E3">
                <wp:simplePos x="0" y="0"/>
                <wp:positionH relativeFrom="column">
                  <wp:posOffset>777545</wp:posOffset>
                </wp:positionH>
                <wp:positionV relativeFrom="paragraph">
                  <wp:posOffset>2203881</wp:posOffset>
                </wp:positionV>
                <wp:extent cx="256362" cy="93624"/>
                <wp:effectExtent l="0" t="19050" r="29845" b="40005"/>
                <wp:wrapNone/>
                <wp:docPr id="9" name="Seta para a direi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362" cy="9362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EA5D07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eta para a direita 9" o:spid="_x0000_s1026" type="#_x0000_t13" style="position:absolute;margin-left:61.2pt;margin-top:173.55pt;width:20.2pt;height:7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" adj="17656" fillcolor="#5b9bd5 [3204]" strokecolor="#1f4d78 [1604]" strokeweight="1pt"/>
            </w:pict>
          </mc:Fallback>
        </mc:AlternateContent>
      </w:r>
      <w:r w:rsidR="00480500" w:rsidRPr="00480500">
        <w:rPr>
          <w:sz w:val="20"/>
          <w:szCs w:val="20"/>
        </w:rPr>
        <w:t xml:space="preserve">Fonte: </w:t>
      </w:r>
      <w:r w:rsidR="001275FC">
        <w:rPr>
          <w:sz w:val="20"/>
          <w:szCs w:val="20"/>
        </w:rPr>
        <w:t xml:space="preserve">IBGE. </w:t>
      </w:r>
      <w:r w:rsidR="00480500" w:rsidRPr="00480500">
        <w:rPr>
          <w:sz w:val="20"/>
          <w:szCs w:val="20"/>
        </w:rPr>
        <w:t>Censo</w:t>
      </w:r>
      <w:r w:rsidR="001275FC">
        <w:rPr>
          <w:sz w:val="20"/>
          <w:szCs w:val="20"/>
        </w:rPr>
        <w:t>s</w:t>
      </w:r>
      <w:r w:rsidR="00480500" w:rsidRPr="00480500">
        <w:rPr>
          <w:sz w:val="20"/>
          <w:szCs w:val="20"/>
        </w:rPr>
        <w:t xml:space="preserve"> Demográfico</w:t>
      </w:r>
      <w:r w:rsidR="001275FC">
        <w:rPr>
          <w:sz w:val="20"/>
          <w:szCs w:val="20"/>
        </w:rPr>
        <w:t>s e Projeção de População. Elaboração própria</w:t>
      </w:r>
    </w:p>
    <w:p w14:paraId="2AE95AD4" w14:textId="5624C716" w:rsidR="00950942" w:rsidRDefault="00380F4B" w:rsidP="00380F4B">
      <w:pPr>
        <w:pStyle w:val="texte"/>
        <w:shd w:val="clear" w:color="auto" w:fill="FFFFFF"/>
        <w:spacing w:before="240" w:beforeAutospacing="0" w:after="240" w:afterAutospacing="0" w:line="270" w:lineRule="atLeast"/>
        <w:jc w:val="both"/>
      </w:pPr>
      <w:r w:rsidRPr="003719D9">
        <w:t xml:space="preserve">Essa fase da transição demográfica, </w:t>
      </w:r>
      <w:r>
        <w:t xml:space="preserve">que deve perdurar, no mínimo, até os anos 2040, </w:t>
      </w:r>
      <w:r w:rsidRPr="003719D9">
        <w:t>em tese, deveria impulsionar o desenvolvimento econômico e social, além de gerar riqueza e poupança interna. Favoreceria também a melhoria na qualidade da educação básica, sobretudo pelo fato da menor demanda por recursos para investimentos em infraestrutura</w:t>
      </w:r>
      <w:r w:rsidR="00C943A4">
        <w:t>, devido ao menor volume de crianças</w:t>
      </w:r>
      <w:r w:rsidRPr="003719D9">
        <w:t>. Não obstante, como no início da abertura da “janela de oportunidades”</w:t>
      </w:r>
      <w:r w:rsidR="0044651A">
        <w:t>,</w:t>
      </w:r>
      <w:r w:rsidRPr="003719D9">
        <w:t xml:space="preserve"> a população idosa ainda é pequena, a pressão sobre os sistemas de seguridade </w:t>
      </w:r>
      <w:proofErr w:type="gramStart"/>
      <w:r w:rsidRPr="003719D9">
        <w:t>social, aí incluídas</w:t>
      </w:r>
      <w:proofErr w:type="gramEnd"/>
      <w:r w:rsidRPr="003719D9">
        <w:t xml:space="preserve"> saúde e previdência</w:t>
      </w:r>
      <w:r w:rsidR="00950942">
        <w:t>, não seria grande, bem diferente do que</w:t>
      </w:r>
      <w:r w:rsidR="0044651A">
        <w:t xml:space="preserve"> apregoa Rabello</w:t>
      </w:r>
      <w:r w:rsidR="00950942">
        <w:t>.</w:t>
      </w:r>
    </w:p>
    <w:p w14:paraId="1FB75F1B" w14:textId="3655EC31" w:rsidR="00380F4B" w:rsidRDefault="00380F4B" w:rsidP="00380F4B">
      <w:pPr>
        <w:pStyle w:val="texte"/>
        <w:shd w:val="clear" w:color="auto" w:fill="FFFFFF"/>
        <w:spacing w:before="240" w:beforeAutospacing="0" w:after="240" w:afterAutospacing="0" w:line="270" w:lineRule="atLeast"/>
        <w:jc w:val="both"/>
      </w:pPr>
      <w:r>
        <w:t>A figura 2 mostra, para o ano de 2015, o aumento do volume das pessoas em idade de trabalhar.</w:t>
      </w:r>
    </w:p>
    <w:p w14:paraId="7BE5A097" w14:textId="750F2589" w:rsidR="00380F4B" w:rsidRDefault="00380F4B" w:rsidP="00380F4B">
      <w:pPr>
        <w:pStyle w:val="texte"/>
        <w:shd w:val="clear" w:color="auto" w:fill="FFFFFF"/>
        <w:spacing w:before="240" w:beforeAutospacing="0" w:after="240" w:afterAutospacing="0" w:line="270" w:lineRule="atLeast"/>
        <w:jc w:val="center"/>
      </w:pPr>
      <w:r>
        <w:t>Figura 2</w:t>
      </w:r>
    </w:p>
    <w:p w14:paraId="2A718B74" w14:textId="77777777" w:rsidR="00380F4B" w:rsidRDefault="00380F4B" w:rsidP="00380F4B">
      <w:pPr>
        <w:pStyle w:val="texte"/>
        <w:shd w:val="clear" w:color="auto" w:fill="FFFFFF"/>
        <w:spacing w:before="240" w:beforeAutospacing="0" w:after="240" w:afterAutospacing="0" w:line="270" w:lineRule="atLeast"/>
        <w:ind w:left="708"/>
        <w:jc w:val="center"/>
      </w:pPr>
    </w:p>
    <w:p w14:paraId="6E9C1644" w14:textId="660BC18C" w:rsidR="00380F4B" w:rsidRPr="003719D9" w:rsidRDefault="00380F4B" w:rsidP="00380F4B">
      <w:pPr>
        <w:pStyle w:val="texte"/>
        <w:shd w:val="clear" w:color="auto" w:fill="FFFFFF"/>
        <w:spacing w:before="240" w:beforeAutospacing="0" w:after="240" w:afterAutospacing="0" w:line="270" w:lineRule="atLeast"/>
        <w:ind w:left="708"/>
        <w:jc w:val="both"/>
      </w:pPr>
      <w:r w:rsidRPr="00F4659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0CFBBD" wp14:editId="7DF182BD">
                <wp:simplePos x="0" y="0"/>
                <wp:positionH relativeFrom="margin">
                  <wp:posOffset>631190</wp:posOffset>
                </wp:positionH>
                <wp:positionV relativeFrom="paragraph">
                  <wp:posOffset>1205738</wp:posOffset>
                </wp:positionV>
                <wp:extent cx="359080" cy="110922"/>
                <wp:effectExtent l="0" t="19050" r="41275" b="41910"/>
                <wp:wrapNone/>
                <wp:docPr id="7" name="Seta para a direi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80" cy="11092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C8FDA3C" id="Seta para a direita 4" o:spid="_x0000_s1026" type="#_x0000_t13" style="position:absolute;margin-left:49.7pt;margin-top:94.95pt;width:28.25pt;height:8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" adj="18264" fillcolor="#5b9bd5 [3204]" strokecolor="#1f4d78 [1604]" strokeweight="1pt">
                <w10:wrap anchorx="margin"/>
              </v:shape>
            </w:pict>
          </mc:Fallback>
        </mc:AlternateContent>
      </w:r>
      <w:r w:rsidRPr="00380F4B">
        <w:rPr>
          <w:noProof/>
        </w:rPr>
        <w:drawing>
          <wp:inline distT="0" distB="0" distL="0" distR="0" wp14:anchorId="79EF8C86" wp14:editId="18B31D23">
            <wp:extent cx="4995354" cy="2501138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901" cy="252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EC5C5" w14:textId="0794C38C" w:rsidR="00C943A4" w:rsidRPr="00480500" w:rsidRDefault="00C943A4" w:rsidP="00C943A4">
      <w:pPr>
        <w:pStyle w:val="texte"/>
        <w:shd w:val="clear" w:color="auto" w:fill="FFFFFF"/>
        <w:spacing w:before="240" w:beforeAutospacing="0" w:after="240" w:afterAutospacing="0" w:line="270" w:lineRule="atLeast"/>
        <w:jc w:val="both"/>
        <w:rPr>
          <w:sz w:val="20"/>
          <w:szCs w:val="20"/>
        </w:rPr>
      </w:pPr>
      <w:r w:rsidRPr="00480500">
        <w:rPr>
          <w:sz w:val="20"/>
          <w:szCs w:val="20"/>
        </w:rPr>
        <w:lastRenderedPageBreak/>
        <w:t xml:space="preserve">Fonte: IBGE, </w:t>
      </w:r>
      <w:r>
        <w:rPr>
          <w:sz w:val="20"/>
          <w:szCs w:val="20"/>
        </w:rPr>
        <w:t>Projeção da População do Brasil por sexo e idade: 2000-2060</w:t>
      </w:r>
      <w:r w:rsidRPr="00480500">
        <w:rPr>
          <w:sz w:val="20"/>
          <w:szCs w:val="20"/>
        </w:rPr>
        <w:t>.</w:t>
      </w:r>
    </w:p>
    <w:p w14:paraId="27E538CD" w14:textId="77777777" w:rsidR="0044651A" w:rsidRDefault="00380F4B" w:rsidP="00380F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Esses dados mostram que r</w:t>
      </w:r>
      <w:r w:rsidR="00EA1302" w:rsidRPr="00380F4B">
        <w:rPr>
          <w:rFonts w:ascii="Times New Roman" w:hAnsi="Times New Roman" w:cs="Times New Roman"/>
          <w:sz w:val="24"/>
          <w:szCs w:val="24"/>
        </w:rPr>
        <w:t>efletir sobre</w:t>
      </w:r>
      <w:r w:rsidR="002E0011" w:rsidRPr="00380F4B">
        <w:rPr>
          <w:rFonts w:ascii="Times New Roman" w:hAnsi="Times New Roman" w:cs="Times New Roman"/>
          <w:sz w:val="24"/>
          <w:szCs w:val="24"/>
        </w:rPr>
        <w:t xml:space="preserve"> a </w:t>
      </w:r>
      <w:r w:rsidR="00EA1302" w:rsidRPr="00380F4B">
        <w:rPr>
          <w:rFonts w:ascii="Times New Roman" w:hAnsi="Times New Roman" w:cs="Times New Roman"/>
          <w:sz w:val="24"/>
          <w:szCs w:val="24"/>
        </w:rPr>
        <w:t xml:space="preserve">reforma </w:t>
      </w:r>
      <w:r w:rsidR="0044651A">
        <w:rPr>
          <w:rFonts w:ascii="Times New Roman" w:hAnsi="Times New Roman" w:cs="Times New Roman"/>
          <w:sz w:val="24"/>
          <w:szCs w:val="24"/>
        </w:rPr>
        <w:t>da Previdência S</w:t>
      </w:r>
      <w:r w:rsidR="002E0011" w:rsidRPr="00380F4B">
        <w:rPr>
          <w:rFonts w:ascii="Times New Roman" w:hAnsi="Times New Roman" w:cs="Times New Roman"/>
          <w:sz w:val="24"/>
          <w:szCs w:val="24"/>
        </w:rPr>
        <w:t>ocial, como forma de enfrentar os desafios colocados pelo envelhecimento, sim</w:t>
      </w:r>
      <w:r w:rsidR="0044651A">
        <w:rPr>
          <w:rFonts w:ascii="Times New Roman" w:hAnsi="Times New Roman" w:cs="Times New Roman"/>
          <w:sz w:val="24"/>
          <w:szCs w:val="24"/>
        </w:rPr>
        <w:t>,</w:t>
      </w:r>
      <w:r w:rsidR="002E0011" w:rsidRPr="00380F4B">
        <w:rPr>
          <w:rFonts w:ascii="Times New Roman" w:hAnsi="Times New Roman" w:cs="Times New Roman"/>
          <w:sz w:val="24"/>
          <w:szCs w:val="24"/>
        </w:rPr>
        <w:t xml:space="preserve"> é necessário</w:t>
      </w:r>
      <w:r w:rsidR="00EA1302" w:rsidRPr="00380F4B">
        <w:rPr>
          <w:rFonts w:ascii="Times New Roman" w:hAnsi="Times New Roman" w:cs="Times New Roman"/>
          <w:sz w:val="24"/>
          <w:szCs w:val="24"/>
        </w:rPr>
        <w:t>. Contudo,</w:t>
      </w:r>
      <w:r w:rsidR="002E0011" w:rsidRPr="00380F4B">
        <w:rPr>
          <w:rFonts w:ascii="Times New Roman" w:hAnsi="Times New Roman" w:cs="Times New Roman"/>
          <w:sz w:val="24"/>
          <w:szCs w:val="24"/>
        </w:rPr>
        <w:t xml:space="preserve"> pode e deve ser realizado de modo transparente e não d</w:t>
      </w:r>
      <w:r w:rsidR="00EA1302" w:rsidRPr="00380F4B">
        <w:rPr>
          <w:rFonts w:ascii="Times New Roman" w:hAnsi="Times New Roman" w:cs="Times New Roman"/>
          <w:sz w:val="24"/>
          <w:szCs w:val="24"/>
        </w:rPr>
        <w:t>eformado, com</w:t>
      </w:r>
      <w:r w:rsidR="001275FC">
        <w:rPr>
          <w:rFonts w:ascii="Times New Roman" w:hAnsi="Times New Roman" w:cs="Times New Roman"/>
          <w:sz w:val="24"/>
          <w:szCs w:val="24"/>
        </w:rPr>
        <w:t>o</w:t>
      </w:r>
      <w:r w:rsidR="0044651A">
        <w:rPr>
          <w:rFonts w:ascii="Times New Roman" w:hAnsi="Times New Roman" w:cs="Times New Roman"/>
          <w:sz w:val="24"/>
          <w:szCs w:val="24"/>
        </w:rPr>
        <w:t xml:space="preserve"> vem sendo tratado o debate</w:t>
      </w:r>
      <w:r w:rsidR="00EA1302" w:rsidRPr="00380F4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508018" w14:textId="1FC0CF44" w:rsidR="0086294F" w:rsidRDefault="00BD6AC5" w:rsidP="00380F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país ainda tem espaço para</w:t>
      </w:r>
      <w:r w:rsidR="0044651A">
        <w:rPr>
          <w:rFonts w:ascii="Times New Roman" w:hAnsi="Times New Roman" w:cs="Times New Roman"/>
          <w:sz w:val="24"/>
          <w:szCs w:val="24"/>
        </w:rPr>
        <w:t>, antes de mudar as regras d</w:t>
      </w:r>
      <w:r>
        <w:rPr>
          <w:rFonts w:ascii="Times New Roman" w:hAnsi="Times New Roman" w:cs="Times New Roman"/>
          <w:sz w:val="24"/>
          <w:szCs w:val="24"/>
        </w:rPr>
        <w:t xml:space="preserve">as aposentadorias, incorporar ao mercado de trabalho formal milhões de homens e mulheres, que além de produzir estariam contribuindo para aumentar o caixa da previdência; rever a política de desonerações que isenta vários setores de recolher ao INSS; cobrar as dívidas bilionárias </w:t>
      </w:r>
      <w:r w:rsidR="00877D5B">
        <w:rPr>
          <w:rFonts w:ascii="Times New Roman" w:hAnsi="Times New Roman" w:cs="Times New Roman"/>
          <w:sz w:val="24"/>
          <w:szCs w:val="24"/>
        </w:rPr>
        <w:t xml:space="preserve">com a previdência </w:t>
      </w:r>
      <w:r>
        <w:rPr>
          <w:rFonts w:ascii="Times New Roman" w:hAnsi="Times New Roman" w:cs="Times New Roman"/>
          <w:sz w:val="24"/>
          <w:szCs w:val="24"/>
        </w:rPr>
        <w:t xml:space="preserve">de diversos segmentos que sonegam </w:t>
      </w:r>
      <w:r w:rsidR="00877D5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contribu</w:t>
      </w:r>
      <w:r w:rsidR="00877D5B">
        <w:rPr>
          <w:rFonts w:ascii="Times New Roman" w:hAnsi="Times New Roman" w:cs="Times New Roman"/>
          <w:sz w:val="24"/>
          <w:szCs w:val="24"/>
        </w:rPr>
        <w:t>ição.</w:t>
      </w:r>
    </w:p>
    <w:p w14:paraId="25AD359C" w14:textId="77777777" w:rsidR="00877D5B" w:rsidRDefault="006E713A" w:rsidP="002E0011">
      <w:pPr>
        <w:jc w:val="both"/>
        <w:rPr>
          <w:rFonts w:ascii="Times New Roman" w:hAnsi="Times New Roman" w:cs="Times New Roman"/>
          <w:sz w:val="24"/>
          <w:szCs w:val="24"/>
        </w:rPr>
      </w:pPr>
      <w:r w:rsidRPr="003719D9">
        <w:rPr>
          <w:rFonts w:ascii="Times New Roman" w:hAnsi="Times New Roman" w:cs="Times New Roman"/>
          <w:sz w:val="24"/>
          <w:szCs w:val="24"/>
        </w:rPr>
        <w:t xml:space="preserve">A reforma da Previdência, tal como está </w:t>
      </w:r>
      <w:r w:rsidR="00235A6A" w:rsidRPr="003719D9">
        <w:rPr>
          <w:rFonts w:ascii="Times New Roman" w:hAnsi="Times New Roman" w:cs="Times New Roman"/>
          <w:sz w:val="24"/>
          <w:szCs w:val="24"/>
        </w:rPr>
        <w:t xml:space="preserve">proposta, </w:t>
      </w:r>
      <w:r w:rsidR="007A1AF4" w:rsidRPr="003719D9">
        <w:rPr>
          <w:rFonts w:ascii="Times New Roman" w:hAnsi="Times New Roman" w:cs="Times New Roman"/>
          <w:sz w:val="24"/>
          <w:szCs w:val="24"/>
        </w:rPr>
        <w:t>com</w:t>
      </w:r>
      <w:r w:rsidR="00A40614" w:rsidRPr="003719D9">
        <w:rPr>
          <w:rFonts w:ascii="Times New Roman" w:hAnsi="Times New Roman" w:cs="Times New Roman"/>
          <w:sz w:val="24"/>
          <w:szCs w:val="24"/>
        </w:rPr>
        <w:t xml:space="preserve"> 4</w:t>
      </w:r>
      <w:r w:rsidR="00F36CFC">
        <w:rPr>
          <w:rFonts w:ascii="Times New Roman" w:hAnsi="Times New Roman" w:cs="Times New Roman"/>
          <w:sz w:val="24"/>
          <w:szCs w:val="24"/>
        </w:rPr>
        <w:t>0</w:t>
      </w:r>
      <w:r w:rsidR="00A40614" w:rsidRPr="003719D9">
        <w:rPr>
          <w:rFonts w:ascii="Times New Roman" w:hAnsi="Times New Roman" w:cs="Times New Roman"/>
          <w:sz w:val="24"/>
          <w:szCs w:val="24"/>
        </w:rPr>
        <w:t xml:space="preserve"> anos ininterruptos de contribuição</w:t>
      </w:r>
      <w:r w:rsidRPr="003719D9">
        <w:rPr>
          <w:rFonts w:ascii="Times New Roman" w:hAnsi="Times New Roman" w:cs="Times New Roman"/>
          <w:sz w:val="24"/>
          <w:szCs w:val="24"/>
        </w:rPr>
        <w:t>,</w:t>
      </w:r>
      <w:r w:rsidR="00A40614" w:rsidRPr="003719D9">
        <w:rPr>
          <w:rFonts w:ascii="Times New Roman" w:hAnsi="Times New Roman" w:cs="Times New Roman"/>
          <w:sz w:val="24"/>
          <w:szCs w:val="24"/>
        </w:rPr>
        <w:t xml:space="preserve"> </w:t>
      </w:r>
      <w:r w:rsidRPr="003719D9">
        <w:rPr>
          <w:rFonts w:ascii="Times New Roman" w:hAnsi="Times New Roman" w:cs="Times New Roman"/>
          <w:sz w:val="24"/>
          <w:szCs w:val="24"/>
        </w:rPr>
        <w:t>torna a missão de um</w:t>
      </w:r>
      <w:r w:rsidR="00235A6A" w:rsidRPr="003719D9">
        <w:rPr>
          <w:rFonts w:ascii="Times New Roman" w:hAnsi="Times New Roman" w:cs="Times New Roman"/>
          <w:sz w:val="24"/>
          <w:szCs w:val="24"/>
        </w:rPr>
        <w:t xml:space="preserve"> trabalhador se aposentar com a integralidade de salários</w:t>
      </w:r>
      <w:r w:rsidRPr="003719D9">
        <w:rPr>
          <w:rFonts w:ascii="Times New Roman" w:hAnsi="Times New Roman" w:cs="Times New Roman"/>
          <w:sz w:val="24"/>
          <w:szCs w:val="24"/>
        </w:rPr>
        <w:t xml:space="preserve"> quase impossível, considerando a histórica e atual estrutura social e de mercado de trabalho brasileiros.</w:t>
      </w:r>
      <w:r w:rsidR="00235A6A" w:rsidRPr="003719D9">
        <w:rPr>
          <w:rFonts w:ascii="Times New Roman" w:hAnsi="Times New Roman" w:cs="Times New Roman"/>
          <w:sz w:val="24"/>
          <w:szCs w:val="24"/>
        </w:rPr>
        <w:t xml:space="preserve"> </w:t>
      </w:r>
      <w:r w:rsidRPr="003719D9">
        <w:rPr>
          <w:rFonts w:ascii="Times New Roman" w:hAnsi="Times New Roman" w:cs="Times New Roman"/>
          <w:sz w:val="24"/>
          <w:szCs w:val="24"/>
        </w:rPr>
        <w:t>F</w:t>
      </w:r>
      <w:r w:rsidR="00235A6A" w:rsidRPr="003719D9">
        <w:rPr>
          <w:rFonts w:ascii="Times New Roman" w:hAnsi="Times New Roman" w:cs="Times New Roman"/>
          <w:sz w:val="24"/>
          <w:szCs w:val="24"/>
        </w:rPr>
        <w:t>ato</w:t>
      </w:r>
      <w:r w:rsidRPr="003719D9">
        <w:rPr>
          <w:rFonts w:ascii="Times New Roman" w:hAnsi="Times New Roman" w:cs="Times New Roman"/>
          <w:sz w:val="24"/>
          <w:szCs w:val="24"/>
        </w:rPr>
        <w:t xml:space="preserve"> este</w:t>
      </w:r>
      <w:r w:rsidR="00235A6A" w:rsidRPr="003719D9">
        <w:rPr>
          <w:rFonts w:ascii="Times New Roman" w:hAnsi="Times New Roman" w:cs="Times New Roman"/>
          <w:sz w:val="24"/>
          <w:szCs w:val="24"/>
        </w:rPr>
        <w:t xml:space="preserve"> que se agravará caso seja aprovada a reforma trabalhista </w:t>
      </w:r>
      <w:r w:rsidR="003719D9">
        <w:rPr>
          <w:rFonts w:ascii="Times New Roman" w:hAnsi="Times New Roman" w:cs="Times New Roman"/>
          <w:sz w:val="24"/>
          <w:szCs w:val="24"/>
        </w:rPr>
        <w:t xml:space="preserve">(PL 6.787/2016) </w:t>
      </w:r>
      <w:r w:rsidR="00235A6A" w:rsidRPr="003719D9">
        <w:rPr>
          <w:rFonts w:ascii="Times New Roman" w:hAnsi="Times New Roman" w:cs="Times New Roman"/>
          <w:sz w:val="24"/>
          <w:szCs w:val="24"/>
        </w:rPr>
        <w:t>e permaneça intacto o texto da terceirização aprovado na Câmara dos Deputados</w:t>
      </w:r>
      <w:r w:rsidRPr="003719D9">
        <w:rPr>
          <w:rFonts w:ascii="Times New Roman" w:hAnsi="Times New Roman" w:cs="Times New Roman"/>
          <w:sz w:val="24"/>
          <w:szCs w:val="24"/>
        </w:rPr>
        <w:t xml:space="preserve"> (</w:t>
      </w:r>
      <w:r w:rsidR="003719D9" w:rsidRPr="003719D9">
        <w:rPr>
          <w:rFonts w:ascii="Times New Roman" w:hAnsi="Times New Roman" w:cs="Times New Roman"/>
          <w:sz w:val="24"/>
          <w:szCs w:val="24"/>
        </w:rPr>
        <w:t>PL 4.302/1998</w:t>
      </w:r>
      <w:r w:rsidRPr="003719D9">
        <w:rPr>
          <w:rFonts w:ascii="Times New Roman" w:hAnsi="Times New Roman" w:cs="Times New Roman"/>
          <w:sz w:val="24"/>
          <w:szCs w:val="24"/>
        </w:rPr>
        <w:t>)</w:t>
      </w:r>
      <w:r w:rsidR="00235A6A" w:rsidRPr="003719D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84F47E" w14:textId="33CC2165" w:rsidR="00B8377F" w:rsidRDefault="00D30273" w:rsidP="002E0011">
      <w:pPr>
        <w:jc w:val="both"/>
        <w:rPr>
          <w:rFonts w:ascii="Times New Roman" w:hAnsi="Times New Roman" w:cs="Times New Roman"/>
          <w:sz w:val="24"/>
          <w:szCs w:val="24"/>
        </w:rPr>
      </w:pPr>
      <w:r w:rsidRPr="004A2880">
        <w:rPr>
          <w:rFonts w:ascii="Times New Roman" w:hAnsi="Times New Roman" w:cs="Times New Roman"/>
          <w:sz w:val="24"/>
          <w:szCs w:val="24"/>
        </w:rPr>
        <w:t>Outro aspecto que dificultará o acesso à aposentadoria integral diz respeito à mudança do período de contribuição</w:t>
      </w:r>
      <w:r w:rsidR="0086553B" w:rsidRPr="004A2880">
        <w:rPr>
          <w:rFonts w:ascii="Times New Roman" w:hAnsi="Times New Roman" w:cs="Times New Roman"/>
          <w:sz w:val="24"/>
          <w:szCs w:val="24"/>
        </w:rPr>
        <w:t xml:space="preserve">, que passará de 15 para 25 anos. </w:t>
      </w:r>
      <w:r w:rsidR="003719D9" w:rsidRPr="004A2880">
        <w:rPr>
          <w:rFonts w:ascii="Times New Roman" w:hAnsi="Times New Roman" w:cs="Times New Roman"/>
          <w:sz w:val="24"/>
          <w:szCs w:val="24"/>
        </w:rPr>
        <w:t>O governo</w:t>
      </w:r>
      <w:r w:rsidR="0086553B" w:rsidRPr="004A2880">
        <w:rPr>
          <w:rFonts w:ascii="Times New Roman" w:hAnsi="Times New Roman" w:cs="Times New Roman"/>
          <w:sz w:val="24"/>
          <w:szCs w:val="24"/>
        </w:rPr>
        <w:t xml:space="preserve">, buscando iludir a opinião pública, </w:t>
      </w:r>
      <w:r w:rsidR="003719D9" w:rsidRPr="004A2880">
        <w:rPr>
          <w:rFonts w:ascii="Times New Roman" w:hAnsi="Times New Roman" w:cs="Times New Roman"/>
          <w:sz w:val="24"/>
          <w:szCs w:val="24"/>
        </w:rPr>
        <w:t>alega que, nos dias atuais, 60% da força de trabalho se aposenta</w:t>
      </w:r>
      <w:r w:rsidR="0044651A">
        <w:rPr>
          <w:rFonts w:ascii="Times New Roman" w:hAnsi="Times New Roman" w:cs="Times New Roman"/>
          <w:sz w:val="24"/>
          <w:szCs w:val="24"/>
        </w:rPr>
        <w:t>m</w:t>
      </w:r>
      <w:r w:rsidR="003719D9" w:rsidRPr="004A2880">
        <w:rPr>
          <w:rFonts w:ascii="Times New Roman" w:hAnsi="Times New Roman" w:cs="Times New Roman"/>
          <w:sz w:val="24"/>
          <w:szCs w:val="24"/>
        </w:rPr>
        <w:t xml:space="preserve"> por idade, com requisito de 15 anos de contribuição </w:t>
      </w:r>
      <w:r w:rsidR="0086553B" w:rsidRPr="004A2880">
        <w:rPr>
          <w:rFonts w:ascii="Times New Roman" w:hAnsi="Times New Roman" w:cs="Times New Roman"/>
          <w:sz w:val="24"/>
          <w:szCs w:val="24"/>
        </w:rPr>
        <w:t>e que essa modalidade de aposentadoria por tempo não muda</w:t>
      </w:r>
      <w:r w:rsidR="0044651A">
        <w:rPr>
          <w:rFonts w:ascii="Times New Roman" w:hAnsi="Times New Roman" w:cs="Times New Roman"/>
          <w:sz w:val="24"/>
          <w:szCs w:val="24"/>
        </w:rPr>
        <w:t>ria significativamente. Omite</w:t>
      </w:r>
      <w:r w:rsidR="0086553B" w:rsidRPr="004A2880">
        <w:rPr>
          <w:rFonts w:ascii="Times New Roman" w:hAnsi="Times New Roman" w:cs="Times New Roman"/>
          <w:sz w:val="24"/>
          <w:szCs w:val="24"/>
        </w:rPr>
        <w:t xml:space="preserve"> o fato de que</w:t>
      </w:r>
      <w:r w:rsidR="0044651A">
        <w:rPr>
          <w:rFonts w:ascii="Times New Roman" w:hAnsi="Times New Roman" w:cs="Times New Roman"/>
          <w:sz w:val="24"/>
          <w:szCs w:val="24"/>
        </w:rPr>
        <w:t>,</w:t>
      </w:r>
      <w:r w:rsidR="0086553B" w:rsidRPr="004A2880">
        <w:rPr>
          <w:rFonts w:ascii="Times New Roman" w:hAnsi="Times New Roman" w:cs="Times New Roman"/>
          <w:sz w:val="24"/>
          <w:szCs w:val="24"/>
        </w:rPr>
        <w:t xml:space="preserve"> </w:t>
      </w:r>
      <w:r w:rsidR="00A40614" w:rsidRPr="004A2880">
        <w:rPr>
          <w:rFonts w:ascii="Times New Roman" w:hAnsi="Times New Roman" w:cs="Times New Roman"/>
          <w:sz w:val="24"/>
          <w:szCs w:val="24"/>
        </w:rPr>
        <w:t xml:space="preserve">com a exigência de </w:t>
      </w:r>
      <w:r w:rsidR="0086553B" w:rsidRPr="004A2880">
        <w:rPr>
          <w:rFonts w:ascii="Times New Roman" w:hAnsi="Times New Roman" w:cs="Times New Roman"/>
          <w:sz w:val="24"/>
          <w:szCs w:val="24"/>
        </w:rPr>
        <w:t>2</w:t>
      </w:r>
      <w:r w:rsidR="00A40614" w:rsidRPr="004A2880">
        <w:rPr>
          <w:rFonts w:ascii="Times New Roman" w:hAnsi="Times New Roman" w:cs="Times New Roman"/>
          <w:sz w:val="24"/>
          <w:szCs w:val="24"/>
        </w:rPr>
        <w:t>5 anos</w:t>
      </w:r>
      <w:r w:rsidR="0044651A">
        <w:rPr>
          <w:rFonts w:ascii="Times New Roman" w:hAnsi="Times New Roman" w:cs="Times New Roman"/>
          <w:sz w:val="24"/>
          <w:szCs w:val="24"/>
        </w:rPr>
        <w:t>,</w:t>
      </w:r>
      <w:r w:rsidR="00A40614" w:rsidRPr="004A2880">
        <w:rPr>
          <w:rFonts w:ascii="Times New Roman" w:hAnsi="Times New Roman" w:cs="Times New Roman"/>
          <w:sz w:val="24"/>
          <w:szCs w:val="24"/>
        </w:rPr>
        <w:t xml:space="preserve"> </w:t>
      </w:r>
      <w:r w:rsidR="00235A6A" w:rsidRPr="004A2880">
        <w:rPr>
          <w:rFonts w:ascii="Times New Roman" w:hAnsi="Times New Roman" w:cs="Times New Roman"/>
          <w:sz w:val="24"/>
          <w:szCs w:val="24"/>
        </w:rPr>
        <w:t>o valor</w:t>
      </w:r>
      <w:r w:rsidR="0044651A">
        <w:rPr>
          <w:rFonts w:ascii="Times New Roman" w:hAnsi="Times New Roman" w:cs="Times New Roman"/>
          <w:sz w:val="24"/>
          <w:szCs w:val="24"/>
        </w:rPr>
        <w:t xml:space="preserve"> a</w:t>
      </w:r>
      <w:r w:rsidR="0086553B" w:rsidRPr="004A2880">
        <w:rPr>
          <w:rFonts w:ascii="Times New Roman" w:hAnsi="Times New Roman" w:cs="Times New Roman"/>
          <w:sz w:val="24"/>
          <w:szCs w:val="24"/>
        </w:rPr>
        <w:t xml:space="preserve"> ser</w:t>
      </w:r>
      <w:r w:rsidR="00235A6A" w:rsidRPr="004A2880">
        <w:rPr>
          <w:rFonts w:ascii="Times New Roman" w:hAnsi="Times New Roman" w:cs="Times New Roman"/>
          <w:sz w:val="24"/>
          <w:szCs w:val="24"/>
        </w:rPr>
        <w:t xml:space="preserve"> recebido </w:t>
      </w:r>
      <w:r w:rsidR="0086553B" w:rsidRPr="004A2880">
        <w:rPr>
          <w:rFonts w:ascii="Times New Roman" w:hAnsi="Times New Roman" w:cs="Times New Roman"/>
          <w:sz w:val="24"/>
          <w:szCs w:val="24"/>
        </w:rPr>
        <w:t>na</w:t>
      </w:r>
      <w:r w:rsidR="00235A6A" w:rsidRPr="004A2880">
        <w:rPr>
          <w:rFonts w:ascii="Times New Roman" w:hAnsi="Times New Roman" w:cs="Times New Roman"/>
          <w:sz w:val="24"/>
          <w:szCs w:val="24"/>
        </w:rPr>
        <w:t xml:space="preserve"> aposentadoria será inferior ao</w:t>
      </w:r>
      <w:r w:rsidR="00A40614" w:rsidRPr="004A2880">
        <w:rPr>
          <w:rFonts w:ascii="Times New Roman" w:hAnsi="Times New Roman" w:cs="Times New Roman"/>
          <w:sz w:val="24"/>
          <w:szCs w:val="24"/>
        </w:rPr>
        <w:t xml:space="preserve">s </w:t>
      </w:r>
      <w:r w:rsidR="0086553B" w:rsidRPr="004A2880">
        <w:rPr>
          <w:rFonts w:ascii="Times New Roman" w:hAnsi="Times New Roman" w:cs="Times New Roman"/>
          <w:sz w:val="24"/>
          <w:szCs w:val="24"/>
        </w:rPr>
        <w:t xml:space="preserve">observados nos dias </w:t>
      </w:r>
      <w:r w:rsidR="00A40614" w:rsidRPr="004A2880">
        <w:rPr>
          <w:rFonts w:ascii="Times New Roman" w:hAnsi="Times New Roman" w:cs="Times New Roman"/>
          <w:sz w:val="24"/>
          <w:szCs w:val="24"/>
        </w:rPr>
        <w:t>de hoje.</w:t>
      </w:r>
      <w:r w:rsidR="00A406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50801C" w14:textId="1B481D38" w:rsidR="002E0011" w:rsidRDefault="0086553B" w:rsidP="002E00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Enfim, o</w:t>
      </w:r>
      <w:r w:rsidR="00A40614">
        <w:rPr>
          <w:rFonts w:ascii="Times New Roman" w:hAnsi="Times New Roman" w:cs="Times New Roman"/>
          <w:sz w:val="24"/>
          <w:szCs w:val="24"/>
        </w:rPr>
        <w:t xml:space="preserve"> desestímulo à adesão ao sistema é o que efetivamente vai desmontá-lo, abrindo caminho para a privatização via regime de capitalização, no qual quem puder pagar se </w:t>
      </w:r>
      <w:proofErr w:type="gramStart"/>
      <w:r w:rsidR="00A40614">
        <w:rPr>
          <w:rFonts w:ascii="Times New Roman" w:hAnsi="Times New Roman" w:cs="Times New Roman"/>
          <w:sz w:val="24"/>
          <w:szCs w:val="24"/>
        </w:rPr>
        <w:t>aposenta</w:t>
      </w:r>
      <w:r w:rsidR="0044651A">
        <w:rPr>
          <w:rFonts w:ascii="Times New Roman" w:hAnsi="Times New Roman" w:cs="Times New Roman"/>
          <w:sz w:val="24"/>
          <w:szCs w:val="24"/>
        </w:rPr>
        <w:t>rá</w:t>
      </w:r>
      <w:r w:rsidR="00A4061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A40614">
        <w:rPr>
          <w:rFonts w:ascii="Times New Roman" w:hAnsi="Times New Roman" w:cs="Times New Roman"/>
          <w:sz w:val="24"/>
          <w:szCs w:val="24"/>
        </w:rPr>
        <w:t xml:space="preserve"> quem não puder ficará ao relento.</w:t>
      </w:r>
    </w:p>
    <w:p w14:paraId="422BC3AE" w14:textId="77777777" w:rsidR="009F7CFF" w:rsidRDefault="009F7CFF" w:rsidP="009F7CFF"/>
    <w:p w14:paraId="6017D435" w14:textId="288A36F2" w:rsidR="002E7817" w:rsidRDefault="002E7817" w:rsidP="002E7817">
      <w:pPr>
        <w:pStyle w:val="PargrafodaLista"/>
        <w:numPr>
          <w:ilvl w:val="0"/>
          <w:numId w:val="1"/>
        </w:numPr>
      </w:pPr>
      <w:r>
        <w:t xml:space="preserve">Esta nota foi produzida por demógrafos do IBGE, em resposta às declarações do Presidente do </w:t>
      </w:r>
      <w:proofErr w:type="gramStart"/>
      <w:r>
        <w:t>órgão</w:t>
      </w:r>
      <w:r w:rsidR="00417A6E">
        <w:t>.</w:t>
      </w:r>
      <w:bookmarkStart w:id="0" w:name="_GoBack"/>
      <w:bookmarkEnd w:id="0"/>
      <w:proofErr w:type="gramEnd"/>
    </w:p>
    <w:sectPr w:rsidR="002E78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71FEE5" w14:textId="77777777" w:rsidR="00BA2971" w:rsidRDefault="00BA2971" w:rsidP="009F7CFF">
      <w:pPr>
        <w:spacing w:after="0" w:line="240" w:lineRule="auto"/>
      </w:pPr>
      <w:r>
        <w:separator/>
      </w:r>
    </w:p>
  </w:endnote>
  <w:endnote w:type="continuationSeparator" w:id="0">
    <w:p w14:paraId="64D2BA80" w14:textId="77777777" w:rsidR="00BA2971" w:rsidRDefault="00BA2971" w:rsidP="009F7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3F4BF8" w14:textId="77777777" w:rsidR="00BA2971" w:rsidRDefault="00BA2971" w:rsidP="009F7CFF">
      <w:pPr>
        <w:spacing w:after="0" w:line="240" w:lineRule="auto"/>
      </w:pPr>
      <w:r>
        <w:separator/>
      </w:r>
    </w:p>
  </w:footnote>
  <w:footnote w:type="continuationSeparator" w:id="0">
    <w:p w14:paraId="787B0614" w14:textId="77777777" w:rsidR="00BA2971" w:rsidRDefault="00BA2971" w:rsidP="009F7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A35BE"/>
    <w:multiLevelType w:val="hybridMultilevel"/>
    <w:tmpl w:val="964EBDC6"/>
    <w:lvl w:ilvl="0" w:tplc="A0706C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909"/>
    <w:rsid w:val="000138E4"/>
    <w:rsid w:val="000D3906"/>
    <w:rsid w:val="001275F6"/>
    <w:rsid w:val="001275FC"/>
    <w:rsid w:val="001348C6"/>
    <w:rsid w:val="001455EA"/>
    <w:rsid w:val="0015411C"/>
    <w:rsid w:val="00155A6C"/>
    <w:rsid w:val="00173F61"/>
    <w:rsid w:val="00191A9B"/>
    <w:rsid w:val="001C5412"/>
    <w:rsid w:val="00212785"/>
    <w:rsid w:val="00217F60"/>
    <w:rsid w:val="00235A6A"/>
    <w:rsid w:val="002841B1"/>
    <w:rsid w:val="002C394B"/>
    <w:rsid w:val="002C786F"/>
    <w:rsid w:val="002E0011"/>
    <w:rsid w:val="002E7817"/>
    <w:rsid w:val="002F03ED"/>
    <w:rsid w:val="0030281A"/>
    <w:rsid w:val="00325BF7"/>
    <w:rsid w:val="003516E1"/>
    <w:rsid w:val="003719D9"/>
    <w:rsid w:val="00380F4B"/>
    <w:rsid w:val="003F2909"/>
    <w:rsid w:val="00417A6E"/>
    <w:rsid w:val="00420DDE"/>
    <w:rsid w:val="0042495A"/>
    <w:rsid w:val="00433238"/>
    <w:rsid w:val="004343B4"/>
    <w:rsid w:val="0044651A"/>
    <w:rsid w:val="00454E38"/>
    <w:rsid w:val="00480500"/>
    <w:rsid w:val="004A2880"/>
    <w:rsid w:val="004F3633"/>
    <w:rsid w:val="004F3944"/>
    <w:rsid w:val="00506CB3"/>
    <w:rsid w:val="005A2CCA"/>
    <w:rsid w:val="005B022F"/>
    <w:rsid w:val="005B5B49"/>
    <w:rsid w:val="0064636C"/>
    <w:rsid w:val="00682982"/>
    <w:rsid w:val="006D1C19"/>
    <w:rsid w:val="006D7286"/>
    <w:rsid w:val="006E4D71"/>
    <w:rsid w:val="006E713A"/>
    <w:rsid w:val="00740EA8"/>
    <w:rsid w:val="00784A57"/>
    <w:rsid w:val="007A1AF4"/>
    <w:rsid w:val="007A67E7"/>
    <w:rsid w:val="00800592"/>
    <w:rsid w:val="00813918"/>
    <w:rsid w:val="00824C9C"/>
    <w:rsid w:val="0086294F"/>
    <w:rsid w:val="0086553B"/>
    <w:rsid w:val="00877D5B"/>
    <w:rsid w:val="00887700"/>
    <w:rsid w:val="00892CAB"/>
    <w:rsid w:val="00897594"/>
    <w:rsid w:val="008A04F1"/>
    <w:rsid w:val="008B7488"/>
    <w:rsid w:val="009036A9"/>
    <w:rsid w:val="00916B05"/>
    <w:rsid w:val="00922840"/>
    <w:rsid w:val="00930001"/>
    <w:rsid w:val="00950942"/>
    <w:rsid w:val="00952043"/>
    <w:rsid w:val="0099504E"/>
    <w:rsid w:val="009E6D63"/>
    <w:rsid w:val="009F7CFF"/>
    <w:rsid w:val="00A22211"/>
    <w:rsid w:val="00A40614"/>
    <w:rsid w:val="00A60440"/>
    <w:rsid w:val="00A61783"/>
    <w:rsid w:val="00A83C57"/>
    <w:rsid w:val="00AD2A30"/>
    <w:rsid w:val="00AD6997"/>
    <w:rsid w:val="00AE6CF7"/>
    <w:rsid w:val="00B079F5"/>
    <w:rsid w:val="00B21614"/>
    <w:rsid w:val="00B56192"/>
    <w:rsid w:val="00B57D85"/>
    <w:rsid w:val="00B6119D"/>
    <w:rsid w:val="00B7449B"/>
    <w:rsid w:val="00B8377F"/>
    <w:rsid w:val="00B83E32"/>
    <w:rsid w:val="00BA2971"/>
    <w:rsid w:val="00BD6AC5"/>
    <w:rsid w:val="00C1076D"/>
    <w:rsid w:val="00C15BE2"/>
    <w:rsid w:val="00C67C1D"/>
    <w:rsid w:val="00C943A4"/>
    <w:rsid w:val="00CA04F7"/>
    <w:rsid w:val="00D27A12"/>
    <w:rsid w:val="00D30273"/>
    <w:rsid w:val="00DA6C08"/>
    <w:rsid w:val="00DE28BF"/>
    <w:rsid w:val="00E0323C"/>
    <w:rsid w:val="00E16FAA"/>
    <w:rsid w:val="00E43625"/>
    <w:rsid w:val="00E455E2"/>
    <w:rsid w:val="00E522BE"/>
    <w:rsid w:val="00EA1302"/>
    <w:rsid w:val="00F13C52"/>
    <w:rsid w:val="00F36CFC"/>
    <w:rsid w:val="00F40F04"/>
    <w:rsid w:val="00F46596"/>
    <w:rsid w:val="00F96702"/>
    <w:rsid w:val="00FA679D"/>
    <w:rsid w:val="00FE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080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e">
    <w:name w:val="texte"/>
    <w:basedOn w:val="Normal"/>
    <w:rsid w:val="00862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anumber">
    <w:name w:val="paranumber"/>
    <w:basedOn w:val="Fontepargpadro"/>
    <w:rsid w:val="0086294F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F7CF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F7CF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F7CFF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2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221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E78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e">
    <w:name w:val="texte"/>
    <w:basedOn w:val="Normal"/>
    <w:rsid w:val="00862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anumber">
    <w:name w:val="paranumber"/>
    <w:basedOn w:val="Fontepargpadro"/>
    <w:rsid w:val="0086294F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F7CF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F7CF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F7CFF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2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221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E7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9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736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IBGE</Company>
  <LinksUpToDate>false</LinksUpToDate>
  <CharactersWithSpaces>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Tadeu Ribeiro de Oliveira</dc:creator>
  <cp:lastModifiedBy>User</cp:lastModifiedBy>
  <cp:revision>7</cp:revision>
  <dcterms:created xsi:type="dcterms:W3CDTF">2017-05-17T14:41:00Z</dcterms:created>
  <dcterms:modified xsi:type="dcterms:W3CDTF">2017-05-17T18:01:00Z</dcterms:modified>
</cp:coreProperties>
</file>